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2.png" ContentType="image/png"/>
  <Override PartName="/word/media/image1.pn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-1080" w:hanging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I</w:t>
      </w:r>
      <w:r>
        <w:rPr>
          <w:rFonts w:cs="Times New Roman" w:ascii="Times New Roman" w:hAnsi="Times New Roman"/>
          <w:b/>
          <w:sz w:val="24"/>
          <w:szCs w:val="24"/>
        </w:rPr>
        <w:t>. Общие положения</w:t>
      </w:r>
    </w:p>
    <w:p>
      <w:pPr>
        <w:pStyle w:val="Normal"/>
        <w:spacing w:lineRule="auto" w:line="24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page">
              <wp:posOffset>-777240</wp:posOffset>
            </wp:positionH>
            <wp:positionV relativeFrom="page">
              <wp:posOffset>73025</wp:posOffset>
            </wp:positionV>
            <wp:extent cx="6927850" cy="8905240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4"/>
          <w:szCs w:val="24"/>
        </w:rPr>
        <w:t>Н</w:t>
      </w:r>
      <w:r>
        <w:rPr>
          <w:rFonts w:cs="Times New Roman" w:ascii="Times New Roman" w:hAnsi="Times New Roman"/>
          <w:sz w:val="24"/>
          <w:szCs w:val="24"/>
        </w:rPr>
        <w:t>астоящее положение разработано в соответствии с Федеральным законом от 29.12.2012 № 273- ФЗ «Об образовании в Российской Федерации», Уставом МБДОУ «Детский сад № 6 «Колосок» города Алатыря Чувашской Республики (далее Учреждение) и регламентирует деятельность Общего собрания работников Учреждения, являющегося одним из коллегиальных органов управления Учреждением.</w:t>
      </w:r>
    </w:p>
    <w:p>
      <w:pPr>
        <w:pStyle w:val="Normal"/>
        <w:spacing w:lineRule="auto" w:line="24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своей деятельности Общее собрание работников Учреждения (далее Общее собрание) руководствуется Конституцией Российской Федерации, Конвенцией ООН о правах ребенка,  федеральным, региональным, местным законодательством, актами органов местного самоуправления в области образования и социальной защиты, Уставом Учреждения и настоящим положением.</w:t>
      </w:r>
    </w:p>
    <w:p>
      <w:pPr>
        <w:pStyle w:val="Normal"/>
        <w:spacing w:lineRule="auto" w:line="24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Целью деятельности Общего собрания является общее руководство организацией в соответствии с учредительными, программными документами и локальными актами.</w:t>
      </w:r>
    </w:p>
    <w:p>
      <w:pPr>
        <w:pStyle w:val="Normal"/>
        <w:spacing w:lineRule="auto" w:line="24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Общее собрание Учреждения работает в тесном контакте с администрацией  и иными органами самоуправления Учреждения  в соответствии с действующим законодательством подзаконными нормативными актами и Уставом Учреждения.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II</w:t>
      </w:r>
      <w:r>
        <w:rPr>
          <w:rFonts w:cs="Times New Roman" w:ascii="Times New Roman" w:hAnsi="Times New Roman"/>
          <w:b/>
          <w:sz w:val="24"/>
          <w:szCs w:val="24"/>
        </w:rPr>
        <w:t>. Компетенция Общего собрания</w:t>
      </w:r>
    </w:p>
    <w:p>
      <w:pPr>
        <w:pStyle w:val="Normal"/>
        <w:spacing w:lineRule="auto" w:line="24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 компетенции Общего собрания относится: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2.1. Определение основных направлений деятельности Учреждения, перспективы ее развития.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2.2. Принятие коллективного договора, правил внутреннего трудового распорядка Учреждения.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2.3. Принятие локальных актов, в том числе локальных актов, регулирующих трудовые отношения с работниками Учреждения, включая инструкции по охране труда, положения о комиссии по охране труда, положения о мерах поощрения работников и обучающихся Учреждения, положения о социальной поддержке работников Учреждения.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2.4. Определение критериев и показателей эффективности деятельности работников Учреждения, входящих  в положение об оплате труда и стимулировании работников.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2.5. Утверждение характеристик и принятие решения о награждении, поощрении  работников  Учреждения.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2.6.   Избрание представителей работников в органы и комиссии Учреждения.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2.7. Обсуждение вопросов состояния трудовой дисциплины в Учреждении, дает рекомендации по ее укреплению.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2.8. Содействие созданию оптимальных условий для организации труда и профессионального совершенствования работников.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2.9. Поддерживание общественных инициатив по развитию деятельности учреждения. 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2.10. Рассмотрение иных вопросов деятельности учреждения, принятых Общим собранием к своему рассмотрению либо вынесенных на его рассмотрение руководителем  учреждения. 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III</w:t>
      </w:r>
      <w:r>
        <w:rPr>
          <w:rFonts w:cs="Times New Roman" w:ascii="Times New Roman" w:hAnsi="Times New Roman"/>
          <w:b/>
          <w:sz w:val="24"/>
          <w:szCs w:val="24"/>
        </w:rPr>
        <w:t>. Организация деятельности Общего собрания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3.1.  Общее собрание работников Учреждения является постоянно действующим высшим органом коллегиального управления.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3.2.  В Общем собрании работников  участвуют все работники, работающие в Учреждении на основании трудовых договоров. Общее собрание действует бессрочно.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3.3.  Общее собрание созывается по мере надобности, но не реже двух раз в год. Общее собрание может собираться по инициативе руководителя Учреждения, Педагогического совета, иных органов или  по инициативе не менее четверти членов Общего собрания.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3.4.  Общее собрание избирает председателя, который выполняет функции по организации работы и ведет заседания, секретаря, который выполняет функции по фиксации решений собрания. Заседание Общего собрания правомочно, если на нем присутствует более половины работников Учреждения. Председатель  Общего собрания и секретарь  выполняет свои обязанности на общественных началах.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3.5. Решение Общего собрания принимаются открытым голосованием простым большинством голосов работников, присутствующих на заседании. Решения Общего собрания вступают в силу после издания руководителем Учреждения соответствующего  локального акта.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3.6. В случае возникновения необходимости выступления от имени Учреждения Общее собрание простым голосованием определяет уполномоченное лицо, которое наделяет правом выступать от имени Учреждения. 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IV</w:t>
      </w:r>
      <w:r>
        <w:rPr>
          <w:rFonts w:cs="Times New Roman" w:ascii="Times New Roman" w:hAnsi="Times New Roman"/>
          <w:b/>
          <w:sz w:val="24"/>
          <w:szCs w:val="24"/>
        </w:rPr>
        <w:t>.  Ответственность Общего собрания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4.1. Общее собрание несет ответственность: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за выполнение, выполнение не в полном объеме или невыполнение закрепленных за ним задач;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соответствие принимаемых решений законодательству Российской Федерации, подзаконным нормативным правовым актам, Уставу Учреждения;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-за компетентность принимаемых решений.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V</w:t>
      </w:r>
      <w:r>
        <w:rPr>
          <w:rFonts w:cs="Times New Roman" w:ascii="Times New Roman" w:hAnsi="Times New Roman"/>
          <w:b/>
          <w:sz w:val="24"/>
          <w:szCs w:val="24"/>
        </w:rPr>
        <w:t>.  Делопроизводство Общего собрания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5.1.  Заседания Общего собрания оформляются протоколом.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5.2.  В книге протоколов фиксируются: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-дата проведения;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-количественное присутствие (отсутствие) работников Учреждения;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-приглашенные лица  (Ф.И.О.), должность;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-повестка дня;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-выступающие лица;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-ход обсуждения вопросов;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-предложения, рекомендации, замечания работников Учреждения и приглашенных лиц;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-решение Общего собрания.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5.3.  Протоколы подписываются председателем  и секретарем Общего собрания.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5.4.  Нумерация протоколов ведется от начала учебного года.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5.5. Книга протоколов Общего собрания нумеруется постранично, прошнуровывается, скрепляется  подписью заведующего и печатью Учреждения.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5.6.  Книга протоколов Общего собрания хранится в делах Учреждения и передается по акту ( при смене руководителя, передаче в архив).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VI</w:t>
      </w:r>
      <w:r>
        <w:rPr>
          <w:rFonts w:cs="Times New Roman" w:ascii="Times New Roman" w:hAnsi="Times New Roman"/>
          <w:b/>
          <w:sz w:val="24"/>
          <w:szCs w:val="24"/>
        </w:rPr>
        <w:t>.  Заключительные положения Общего собрания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6.1. Изменения и дополнения в настоящее положение вносятся Общим собранием и принимаются на заседании Общего собрания.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6.2. Положение действует до принятия нового положения, утвержденного  на Общем собрании работников Учреждения в установленном порядке.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06160" cy="863219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63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200"/>
        <w:ind w:left="-720" w:hanging="0"/>
        <w:jc w:val="both"/>
        <w:rPr/>
      </w:pPr>
      <w:r>
        <w:rPr/>
      </w:r>
    </w:p>
    <w:sectPr>
      <w:footerReference w:type="default" r:id="rId4"/>
      <w:type w:val="nextPage"/>
      <w:pgSz w:w="11906" w:h="16838"/>
      <w:pgMar w:left="1440" w:right="850" w:header="0" w:top="719" w:footer="708" w:bottom="899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ourier New">
    <w:charset w:val="01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9"/>
      <w:tabs>
        <w:tab w:val="center" w:pos="4677" w:leader="none"/>
        <w:tab w:val="right" w:pos="9355" w:leader="none"/>
      </w:tabs>
      <w:spacing w:before="0" w:after="200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4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72390" cy="170180"/>
              <wp:effectExtent l="0" t="0" r="0" b="0"/>
              <wp:wrapSquare wrapText="largest"/>
              <wp:docPr id="3" name="Врезка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40" cy="16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9"/>
                            <w:spacing w:before="0" w:after="200"/>
                            <w:rPr/>
                          </w:pPr>
                          <w:r>
                            <w:rPr>
                              <w:rStyle w:val="Pagenumber"/>
                              <w:rFonts w:cs="Calibri"/>
                              <w:color w:val="auto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Calibri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rFonts w:cs="Calibri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cs="Calibri"/>
                            </w:rPr>
                            <w:t>4</w:t>
                          </w:r>
                          <w:r>
                            <w:rPr>
                              <w:rStyle w:val="Pagenumber"/>
                              <w:rFonts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" fillcolor="white" stroked="f" style="position:absolute;margin-left:237.55pt;margin-top:0.05pt;width:5.6pt;height:13.3pt;mso-position-horizontal:center;mso-position-horizontal-relative:margin">
              <w10:wrap type="square"/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19"/>
                      <w:spacing w:before="0" w:after="200"/>
                      <w:rPr/>
                    </w:pPr>
                    <w:r>
                      <w:rPr>
                        <w:rStyle w:val="Pagenumber"/>
                        <w:rFonts w:cs="Calibri"/>
                        <w:color w:val="auto"/>
                      </w:rPr>
                      <w:fldChar w:fldCharType="begin"/>
                    </w:r>
                    <w:r>
                      <w:rPr>
                        <w:rStyle w:val="Pagenumber"/>
                        <w:rFonts w:cs="Calibri"/>
                      </w:rPr>
                      <w:instrText> PAGE </w:instrText>
                    </w:r>
                    <w:r>
                      <w:rPr>
                        <w:rStyle w:val="Pagenumber"/>
                        <w:rFonts w:cs="Calibri"/>
                      </w:rPr>
                      <w:fldChar w:fldCharType="separate"/>
                    </w:r>
                    <w:r>
                      <w:rPr>
                        <w:rStyle w:val="Pagenumber"/>
                        <w:rFonts w:cs="Calibri"/>
                      </w:rPr>
                      <w:t>4</w:t>
                    </w:r>
                    <w:r>
                      <w:rPr>
                        <w:rStyle w:val="Pagenumber"/>
                        <w:rFonts w:cs="Calibri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w="http://schemas.openxmlformats.org/wordprocessingml/2006/main">
  <w:zoom w:percent="100"/>
  <w:embedSystemFonts/>
  <w:defaultTabStop w:val="708"/>
  <w:autoHyphenation w:val="fals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41beb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Calibri"/>
      <w:color w:val="auto"/>
      <w:kern w:val="0"/>
      <w:sz w:val="22"/>
      <w:szCs w:val="22"/>
      <w:lang w:val="ru-RU" w:eastAsia="ar-SA" w:bidi="ar-SA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FooterChar" w:customStyle="1">
    <w:name w:val="Footer Char"/>
    <w:basedOn w:val="DefaultParagraphFont"/>
    <w:link w:val="Footer"/>
    <w:uiPriority w:val="99"/>
    <w:semiHidden/>
    <w:qFormat/>
    <w:locked/>
    <w:rsid w:val="006f12e7"/>
    <w:rPr>
      <w:rFonts w:eastAsia="Times New Roman" w:cs="Calibri"/>
      <w:lang w:eastAsia="ar-SA" w:bidi="ar-SA"/>
    </w:rPr>
  </w:style>
  <w:style w:type="character" w:styleId="Pagenumber">
    <w:name w:val="page number"/>
    <w:basedOn w:val="DefaultParagraphFont"/>
    <w:uiPriority w:val="99"/>
    <w:qFormat/>
    <w:rsid w:val="00073a94"/>
    <w:rPr>
      <w:rFonts w:cs="Times New Roman"/>
    </w:rPr>
  </w:style>
  <w:style w:type="character" w:styleId="ListLabel1">
    <w:name w:val="ListLabel 1"/>
    <w:qFormat/>
    <w:rPr>
      <w:rFonts w:cs="Times New Roman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character" w:styleId="ListLabel10">
    <w:name w:val="ListLabel 10"/>
    <w:qFormat/>
    <w:rPr>
      <w:rFonts w:cs="Times New Roman"/>
    </w:rPr>
  </w:style>
  <w:style w:type="character" w:styleId="ListLabel11">
    <w:name w:val="ListLabel 11"/>
    <w:qFormat/>
    <w:rPr>
      <w:rFonts w:cs="Times New Roman"/>
    </w:rPr>
  </w:style>
  <w:style w:type="character" w:styleId="ListLabel12">
    <w:name w:val="ListLabel 12"/>
    <w:qFormat/>
    <w:rPr>
      <w:rFonts w:cs="Times New Roman"/>
    </w:rPr>
  </w:style>
  <w:style w:type="character" w:styleId="ListLabel13">
    <w:name w:val="ListLabel 13"/>
    <w:qFormat/>
    <w:rPr>
      <w:rFonts w:cs="Times New Roman"/>
    </w:rPr>
  </w:style>
  <w:style w:type="character" w:styleId="ListLabel14">
    <w:name w:val="ListLabel 14"/>
    <w:qFormat/>
    <w:rPr>
      <w:rFonts w:cs="Times New Roman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Times New Roman"/>
    </w:rPr>
  </w:style>
  <w:style w:type="character" w:styleId="ListLabel17">
    <w:name w:val="ListLabel 17"/>
    <w:qFormat/>
    <w:rPr>
      <w:rFonts w:cs="Times New Roman"/>
    </w:rPr>
  </w:style>
  <w:style w:type="character" w:styleId="ListLabel18">
    <w:name w:val="ListLabel 18"/>
    <w:qFormat/>
    <w:rPr>
      <w:rFonts w:cs="Times New Roman"/>
    </w:rPr>
  </w:style>
  <w:style w:type="character" w:styleId="ListLabel19">
    <w:name w:val="ListLabel 19"/>
    <w:qFormat/>
    <w:rPr>
      <w:rFonts w:cs="Times New Roman"/>
    </w:rPr>
  </w:style>
  <w:style w:type="character" w:styleId="ListLabel20">
    <w:name w:val="ListLabel 20"/>
    <w:qFormat/>
    <w:rPr>
      <w:rFonts w:cs="Times New Roman"/>
    </w:rPr>
  </w:style>
  <w:style w:type="character" w:styleId="ListLabel21">
    <w:name w:val="ListLabel 21"/>
    <w:qFormat/>
    <w:rPr>
      <w:rFonts w:cs="Times New Roman"/>
    </w:rPr>
  </w:style>
  <w:style w:type="character" w:styleId="ListLabel22">
    <w:name w:val="ListLabel 22"/>
    <w:qFormat/>
    <w:rPr>
      <w:rFonts w:cs="Times New Roman"/>
    </w:rPr>
  </w:style>
  <w:style w:type="character" w:styleId="ListLabel23">
    <w:name w:val="ListLabel 23"/>
    <w:qFormat/>
    <w:rPr>
      <w:rFonts w:cs="Times New Roma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Droid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Droid Sans Devanagari"/>
    </w:rPr>
  </w:style>
  <w:style w:type="paragraph" w:styleId="ConsPlusNonformat" w:customStyle="1">
    <w:name w:val="ConsPlusNonformat"/>
    <w:uiPriority w:val="99"/>
    <w:qFormat/>
    <w:rsid w:val="00f41beb"/>
    <w:pPr>
      <w:widowControl w:val="false"/>
      <w:suppressAutoHyphens w:val="true"/>
      <w:bidi w:val="0"/>
      <w:jc w:val="left"/>
    </w:pPr>
    <w:rPr>
      <w:rFonts w:ascii="Courier New" w:hAnsi="Courier New" w:eastAsia="Calibri" w:cs="Courier New"/>
      <w:color w:val="auto"/>
      <w:kern w:val="0"/>
      <w:sz w:val="20"/>
      <w:szCs w:val="20"/>
      <w:lang w:val="ru-RU" w:eastAsia="ar-SA" w:bidi="ar-SA"/>
    </w:rPr>
  </w:style>
  <w:style w:type="paragraph" w:styleId="Style19">
    <w:name w:val="Footer"/>
    <w:basedOn w:val="Normal"/>
    <w:link w:val="FooterChar"/>
    <w:uiPriority w:val="99"/>
    <w:rsid w:val="00073a94"/>
    <w:pPr>
      <w:tabs>
        <w:tab w:val="center" w:pos="4677" w:leader="none"/>
        <w:tab w:val="right" w:pos="9355" w:leader="none"/>
      </w:tabs>
    </w:pPr>
    <w:rPr/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182</TotalTime>
  <Application>LibreOffice/6.0.4.1$Linux_X86_64 LibreOffice_project/00m0$Build-1</Application>
  <Pages>4</Pages>
  <Words>623</Words>
  <Characters>4664</Characters>
  <CharactersWithSpaces>5285</CharactersWithSpaces>
  <Paragraphs>48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2016-01-10T14:47:00Z</dcterms:created>
  <dc:creator>2015</dc:creator>
  <dc:description/>
  <dc:language>ru-RU</dc:language>
  <cp:lastModifiedBy/>
  <cp:lastPrinted>2016-03-30T08:19:00Z</cp:lastPrinted>
  <dcterms:modified xsi:type="dcterms:W3CDTF">2018-05-25T16:39:32Z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